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E8875AB"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 Meeting #</w:t>
      </w:r>
      <w:r w:rsidR="00193885">
        <w:rPr>
          <w:rFonts w:ascii="Arial" w:hAnsi="Arial" w:cs="Arial"/>
          <w:sz w:val="22"/>
          <w:szCs w:val="22"/>
        </w:rPr>
        <w:t>88</w:t>
      </w:r>
      <w:r w:rsidR="003E7AF9">
        <w:rPr>
          <w:rFonts w:ascii="Arial" w:hAnsi="Arial" w:cs="Arial"/>
          <w:sz w:val="22"/>
          <w:szCs w:val="22"/>
        </w:rPr>
        <w:t>-e</w:t>
      </w:r>
      <w:r>
        <w:rPr>
          <w:rFonts w:ascii="Arial" w:hAnsi="Arial" w:cs="Arial"/>
          <w:sz w:val="22"/>
          <w:szCs w:val="22"/>
        </w:rPr>
        <w:tab/>
      </w:r>
      <w:r w:rsidR="00193885" w:rsidRPr="00193885">
        <w:rPr>
          <w:rFonts w:ascii="Arial" w:hAnsi="Arial" w:cs="Arial"/>
          <w:sz w:val="22"/>
          <w:szCs w:val="22"/>
        </w:rPr>
        <w:t>RP-200780</w:t>
      </w:r>
    </w:p>
    <w:p w14:paraId="586E3202" w14:textId="3AAC17A2" w:rsidR="00292070" w:rsidRDefault="003E7AF9" w:rsidP="00120D47">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r w:rsidR="00292070">
        <w:rPr>
          <w:rFonts w:ascii="Arial" w:eastAsia="Malgun Gothic" w:hAnsi="Arial" w:cs="Arial"/>
          <w:sz w:val="22"/>
          <w:szCs w:val="22"/>
          <w:lang w:val="en-US" w:eastAsia="en-US"/>
        </w:rPr>
        <w:t>29</w:t>
      </w:r>
      <w:r w:rsidR="00292070" w:rsidRPr="00292070">
        <w:rPr>
          <w:rFonts w:ascii="Arial" w:eastAsia="Malgun Gothic" w:hAnsi="Arial" w:cs="Arial"/>
          <w:sz w:val="22"/>
          <w:szCs w:val="22"/>
          <w:vertAlign w:val="superscript"/>
          <w:lang w:val="en-US" w:eastAsia="en-US"/>
        </w:rPr>
        <w:t>th</w:t>
      </w:r>
      <w:r w:rsidR="00292070">
        <w:rPr>
          <w:rFonts w:ascii="Arial" w:eastAsia="Malgun Gothic" w:hAnsi="Arial" w:cs="Arial"/>
          <w:sz w:val="22"/>
          <w:szCs w:val="22"/>
          <w:lang w:val="en-US" w:eastAsia="en-US"/>
        </w:rPr>
        <w:t xml:space="preserve"> June</w:t>
      </w:r>
      <w:r>
        <w:rPr>
          <w:rFonts w:ascii="Arial" w:eastAsia="Malgun Gothic" w:hAnsi="Arial" w:cs="Arial"/>
          <w:sz w:val="22"/>
          <w:szCs w:val="22"/>
          <w:lang w:val="en-US" w:eastAsia="en-US"/>
        </w:rPr>
        <w:t xml:space="preserve"> – </w:t>
      </w:r>
      <w:r w:rsidR="00292070">
        <w:rPr>
          <w:rFonts w:ascii="Arial" w:eastAsia="Malgun Gothic" w:hAnsi="Arial" w:cs="Arial"/>
          <w:sz w:val="22"/>
          <w:szCs w:val="22"/>
          <w:lang w:val="en-US" w:eastAsia="en-US"/>
        </w:rPr>
        <w:t>3</w:t>
      </w:r>
      <w:r w:rsidR="00292070" w:rsidRPr="00292070">
        <w:rPr>
          <w:rFonts w:ascii="Arial" w:eastAsia="Malgun Gothic" w:hAnsi="Arial" w:cs="Arial"/>
          <w:sz w:val="22"/>
          <w:szCs w:val="22"/>
          <w:vertAlign w:val="superscript"/>
          <w:lang w:val="en-US" w:eastAsia="en-US"/>
        </w:rPr>
        <w:t>rd</w:t>
      </w:r>
      <w:r w:rsidR="00292070">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Ju</w:t>
      </w:r>
      <w:r w:rsidR="00292070">
        <w:rPr>
          <w:rFonts w:ascii="Arial" w:eastAsia="Malgun Gothic" w:hAnsi="Arial" w:cs="Arial"/>
          <w:sz w:val="22"/>
          <w:szCs w:val="22"/>
          <w:lang w:val="en-US" w:eastAsia="en-US"/>
        </w:rPr>
        <w:t>ly</w:t>
      </w:r>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2020</w:t>
      </w:r>
      <w:bookmarkEnd w:id="1"/>
    </w:p>
    <w:p w14:paraId="7BD6E701" w14:textId="77777777" w:rsidR="00292070" w:rsidRPr="00ED06F5" w:rsidRDefault="00292070" w:rsidP="00120D47">
      <w:pPr>
        <w:pStyle w:val="3GPPHeader"/>
        <w:spacing w:after="0"/>
        <w:rPr>
          <w:rFonts w:ascii="Arial" w:hAnsi="Arial" w:cs="Arial"/>
          <w:sz w:val="22"/>
        </w:rPr>
      </w:pPr>
    </w:p>
    <w:p w14:paraId="7BE584AF" w14:textId="4FC68B82"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A7573">
        <w:rPr>
          <w:rFonts w:ascii="Arial" w:hAnsi="Arial" w:cs="Arial"/>
          <w:b w:val="0"/>
          <w:sz w:val="22"/>
        </w:rPr>
        <w:t xml:space="preserve">9.8 </w:t>
      </w:r>
      <w:r w:rsidR="00111E19" w:rsidRPr="00111E19">
        <w:rPr>
          <w:rFonts w:ascii="Arial" w:hAnsi="Arial" w:cs="Arial"/>
          <w:b w:val="0"/>
          <w:sz w:val="22"/>
        </w:rPr>
        <w:t>Small Technical Enhancements and Improvements for REL-16 [TEI16]</w:t>
      </w:r>
    </w:p>
    <w:p w14:paraId="2F201713" w14:textId="53AEAD05"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0870B0">
        <w:rPr>
          <w:rFonts w:ascii="Arial" w:hAnsi="Arial" w:cs="Arial"/>
          <w:b w:val="0"/>
          <w:bCs/>
          <w:sz w:val="22"/>
          <w:lang w:val="en-US"/>
        </w:rPr>
        <w:t>, Qualcomm Inc., Samsung, Verizon</w:t>
      </w:r>
      <w:r w:rsidR="002336B9">
        <w:rPr>
          <w:rFonts w:ascii="Arial" w:hAnsi="Arial" w:cs="Arial"/>
          <w:b w:val="0"/>
          <w:bCs/>
          <w:sz w:val="22"/>
          <w:lang w:val="en-US"/>
        </w:rPr>
        <w:t xml:space="preserve">, </w:t>
      </w:r>
      <w:r w:rsidR="007A2DAA">
        <w:rPr>
          <w:rFonts w:ascii="Arial" w:hAnsi="Arial" w:cs="Arial"/>
          <w:b w:val="0"/>
          <w:bCs/>
          <w:sz w:val="22"/>
          <w:lang w:val="en-US"/>
        </w:rPr>
        <w:t>Deutsche Telekom</w:t>
      </w:r>
      <w:r w:rsidR="00261F7C">
        <w:rPr>
          <w:rFonts w:ascii="Arial" w:hAnsi="Arial" w:cs="Arial"/>
          <w:b w:val="0"/>
          <w:bCs/>
          <w:sz w:val="22"/>
          <w:lang w:val="en-US"/>
        </w:rPr>
        <w:t>,</w:t>
      </w:r>
      <w:r w:rsidR="00261F7C" w:rsidRPr="00261F7C">
        <w:rPr>
          <w:rFonts w:ascii="Arial" w:hAnsi="Arial" w:cs="Arial"/>
          <w:b w:val="0"/>
          <w:bCs/>
          <w:sz w:val="22"/>
          <w:lang w:val="en-US"/>
        </w:rPr>
        <w:t xml:space="preserve"> </w:t>
      </w:r>
      <w:r w:rsidR="00261F7C">
        <w:rPr>
          <w:rFonts w:ascii="Arial" w:hAnsi="Arial" w:cs="Arial"/>
          <w:b w:val="0"/>
          <w:bCs/>
          <w:sz w:val="22"/>
          <w:lang w:val="en-US"/>
        </w:rPr>
        <w:t>FirstNet</w:t>
      </w:r>
    </w:p>
    <w:p w14:paraId="7D220426" w14:textId="7A681C2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93885">
        <w:rPr>
          <w:rFonts w:ascii="Arial" w:hAnsi="Arial" w:cs="Arial"/>
          <w:b w:val="0"/>
          <w:bCs/>
          <w:sz w:val="22"/>
          <w:lang w:val="en-US"/>
        </w:rPr>
        <w:t>Secondary DRX</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20EB0EE" w:rsidR="00120D47" w:rsidRDefault="004D10CC" w:rsidP="00120D47">
      <w:pPr>
        <w:pStyle w:val="Heading1"/>
      </w:pPr>
      <w:r>
        <w:t>Introduction</w:t>
      </w:r>
    </w:p>
    <w:p w14:paraId="78A65FEB" w14:textId="2D3C5320" w:rsidR="003916D3" w:rsidRPr="003916D3" w:rsidRDefault="00285CF1" w:rsidP="003916D3">
      <w:pPr>
        <w:rPr>
          <w:lang w:val="en-GB" w:eastAsia="zh-CN"/>
        </w:rPr>
      </w:pPr>
      <w:r>
        <w:rPr>
          <w:lang w:val="en-GB" w:eastAsia="zh-CN"/>
        </w:rPr>
        <w:t>The i</w:t>
      </w:r>
      <w:r w:rsidR="003916D3">
        <w:rPr>
          <w:lang w:val="en-GB" w:eastAsia="zh-CN"/>
        </w:rPr>
        <w:t>ntroduction of secondary DRX in REL-16, to address power consumption concerns when both FR1 and FR2 are configured</w:t>
      </w:r>
      <w:r w:rsidR="00300F6B">
        <w:rPr>
          <w:lang w:val="en-GB" w:eastAsia="zh-CN"/>
        </w:rPr>
        <w:t xml:space="preserve"> via Carrier Aggregation (CA) in NR</w:t>
      </w:r>
      <w:r w:rsidR="003916D3">
        <w:rPr>
          <w:lang w:val="en-GB" w:eastAsia="zh-CN"/>
        </w:rPr>
        <w:t xml:space="preserve">, is discussed further in this contribution. </w:t>
      </w:r>
    </w:p>
    <w:p w14:paraId="1DEB3AB7" w14:textId="4E91A232" w:rsidR="00FA27C0" w:rsidRDefault="009D725A" w:rsidP="00FA27C0">
      <w:pPr>
        <w:pStyle w:val="Heading1"/>
      </w:pPr>
      <w:bookmarkStart w:id="2" w:name="_Toc242573354"/>
      <w:r>
        <w:t>Discussion</w:t>
      </w:r>
      <w:bookmarkEnd w:id="2"/>
    </w:p>
    <w:p w14:paraId="44082B56" w14:textId="610E6201" w:rsidR="00DA474B" w:rsidRPr="00DA474B" w:rsidRDefault="00DA474B" w:rsidP="00DA474B">
      <w:pPr>
        <w:rPr>
          <w:b/>
          <w:bCs/>
          <w:u w:val="single"/>
          <w:lang w:val="en-GB" w:eastAsia="zh-CN"/>
        </w:rPr>
      </w:pPr>
      <w:r w:rsidRPr="00DA474B">
        <w:rPr>
          <w:b/>
          <w:bCs/>
          <w:u w:val="single"/>
          <w:lang w:val="en-GB" w:eastAsia="zh-CN"/>
        </w:rPr>
        <w:t>Background</w:t>
      </w:r>
      <w:r>
        <w:rPr>
          <w:b/>
          <w:bCs/>
          <w:u w:val="single"/>
          <w:lang w:val="en-GB" w:eastAsia="zh-CN"/>
        </w:rPr>
        <w:t xml:space="preserve"> </w:t>
      </w:r>
    </w:p>
    <w:p w14:paraId="0D3A66AB" w14:textId="12B1BC93" w:rsidR="00DA474B" w:rsidRDefault="003916D3" w:rsidP="003916D3">
      <w:pPr>
        <w:rPr>
          <w:lang w:val="en-GB" w:eastAsia="zh-CN"/>
        </w:rPr>
      </w:pPr>
      <w:bookmarkStart w:id="3" w:name="_Toc242573360"/>
      <w:r>
        <w:rPr>
          <w:lang w:val="en-GB" w:eastAsia="zh-CN"/>
        </w:rPr>
        <w:t xml:space="preserve">The NR UE power consumption has been analysed in the NR UE power saving study and work item, and one of the observations from that analysis is the high power consumption to monitor PDCCH in connected mode, especially when FR2 is configured. These observations are also confirmed by the UE </w:t>
      </w:r>
      <w:r w:rsidR="004B59F9">
        <w:rPr>
          <w:lang w:val="en-GB" w:eastAsia="zh-CN"/>
        </w:rPr>
        <w:t>vendors</w:t>
      </w:r>
      <w:r>
        <w:rPr>
          <w:lang w:val="en-GB" w:eastAsia="zh-CN"/>
        </w:rPr>
        <w:t>, especially when both FR1 and FR2 are configured, and FR2 is used for traffic offloading. FR2 provides high throughput capability, but it comes with a cost in power consumption.</w:t>
      </w:r>
    </w:p>
    <w:p w14:paraId="4CF24A7C" w14:textId="479C02C2" w:rsidR="00DA474B" w:rsidRPr="00A82DE7" w:rsidRDefault="00187AAE" w:rsidP="003916D3">
      <w:pPr>
        <w:rPr>
          <w:b/>
          <w:bCs/>
          <w:u w:val="single"/>
          <w:lang w:val="en-GB" w:eastAsia="zh-CN"/>
        </w:rPr>
      </w:pPr>
      <w:r>
        <w:rPr>
          <w:b/>
          <w:bCs/>
          <w:u w:val="single"/>
          <w:lang w:val="en-GB" w:eastAsia="zh-CN"/>
        </w:rPr>
        <w:t>S</w:t>
      </w:r>
      <w:r w:rsidR="00DA474B" w:rsidRPr="00A82DE7">
        <w:rPr>
          <w:b/>
          <w:bCs/>
          <w:u w:val="single"/>
          <w:lang w:val="en-GB" w:eastAsia="zh-CN"/>
        </w:rPr>
        <w:t>olution</w:t>
      </w:r>
    </w:p>
    <w:p w14:paraId="623D91BC" w14:textId="47229E86" w:rsidR="002F0172" w:rsidRDefault="003916D3" w:rsidP="002F0172">
      <w:pPr>
        <w:rPr>
          <w:lang w:val="en-GB" w:eastAsia="zh-CN"/>
        </w:rPr>
      </w:pPr>
      <w:r>
        <w:rPr>
          <w:lang w:val="en-GB" w:eastAsia="zh-CN"/>
        </w:rPr>
        <w:t xml:space="preserve">When both FR1 and FR2 are configured it is beneficial from a power consumption perspective </w:t>
      </w:r>
      <w:r w:rsidR="0040386D">
        <w:rPr>
          <w:lang w:val="en-GB" w:eastAsia="zh-CN"/>
        </w:rPr>
        <w:t xml:space="preserve">that </w:t>
      </w:r>
      <w:r>
        <w:rPr>
          <w:lang w:val="en-GB" w:eastAsia="zh-CN"/>
        </w:rPr>
        <w:t xml:space="preserve">FR2 can go to sleep more quickly compared to FR1, i.e. when the </w:t>
      </w:r>
      <w:r w:rsidR="005B41C7">
        <w:rPr>
          <w:lang w:val="en-GB" w:eastAsia="zh-CN"/>
        </w:rPr>
        <w:t xml:space="preserve">connected mode </w:t>
      </w:r>
      <w:r>
        <w:rPr>
          <w:lang w:val="en-GB" w:eastAsia="zh-CN"/>
        </w:rPr>
        <w:t>DRX is de-coupled</w:t>
      </w:r>
      <w:r w:rsidR="002F0172">
        <w:rPr>
          <w:lang w:val="en-GB" w:eastAsia="zh-CN"/>
        </w:rPr>
        <w:t xml:space="preserve">. When FR2 is not needed for traffic offloading, then FR2 should go to sleep as soon as possible to avoid unnecessary PDCCH monitoring. This can be achieved when a short </w:t>
      </w:r>
      <w:proofErr w:type="spellStart"/>
      <w:r w:rsidR="002F0172" w:rsidRPr="00C11F6F">
        <w:rPr>
          <w:i/>
          <w:iCs/>
          <w:lang w:val="en-GB" w:eastAsia="zh-CN"/>
        </w:rPr>
        <w:t>drx-InactivityTimer</w:t>
      </w:r>
      <w:proofErr w:type="spellEnd"/>
      <w:r w:rsidR="002F0172">
        <w:rPr>
          <w:lang w:val="en-GB" w:eastAsia="zh-CN"/>
        </w:rPr>
        <w:t xml:space="preserve"> and short </w:t>
      </w:r>
      <w:proofErr w:type="spellStart"/>
      <w:r w:rsidR="002F0172" w:rsidRPr="00C11F6F">
        <w:rPr>
          <w:i/>
          <w:iCs/>
          <w:lang w:val="en-GB" w:eastAsia="zh-CN"/>
        </w:rPr>
        <w:t>OnDurationTimer</w:t>
      </w:r>
      <w:proofErr w:type="spellEnd"/>
      <w:r w:rsidR="002F0172">
        <w:rPr>
          <w:lang w:val="en-GB" w:eastAsia="zh-CN"/>
        </w:rPr>
        <w:t xml:space="preserve"> is configured for FR2</w:t>
      </w:r>
      <w:r w:rsidR="00E62C44">
        <w:rPr>
          <w:lang w:val="en-GB" w:eastAsia="zh-CN"/>
        </w:rPr>
        <w:t xml:space="preserve"> separately</w:t>
      </w:r>
      <w:r w:rsidR="002F0172">
        <w:rPr>
          <w:lang w:val="en-GB" w:eastAsia="zh-CN"/>
        </w:rPr>
        <w:t xml:space="preserve">: </w:t>
      </w:r>
    </w:p>
    <w:p w14:paraId="180A575E" w14:textId="33CD3380" w:rsidR="003916D3" w:rsidRDefault="003916D3" w:rsidP="003916D3">
      <w:pPr>
        <w:rPr>
          <w:lang w:val="en-GB" w:eastAsia="zh-CN"/>
        </w:rPr>
      </w:pPr>
    </w:p>
    <w:p w14:paraId="5FC667FF" w14:textId="1714FD80" w:rsidR="003916D3" w:rsidRDefault="003916D3" w:rsidP="003916D3">
      <w:pPr>
        <w:rPr>
          <w:lang w:val="en-GB" w:eastAsia="zh-CN"/>
        </w:rPr>
      </w:pPr>
      <w:r>
        <w:rPr>
          <w:lang w:val="en-GB" w:eastAsia="zh-CN"/>
        </w:rPr>
        <w:t xml:space="preserve"> </w:t>
      </w:r>
      <w:r>
        <w:rPr>
          <w:noProof/>
        </w:rPr>
        <w:drawing>
          <wp:inline distT="0" distB="0" distL="0" distR="0" wp14:anchorId="16A44B95" wp14:editId="37F44BDA">
            <wp:extent cx="4307629" cy="18756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4499" t="24720" r="13017" b="19170"/>
                    <a:stretch/>
                  </pic:blipFill>
                  <pic:spPr bwMode="auto">
                    <a:xfrm>
                      <a:off x="0" y="0"/>
                      <a:ext cx="4308131" cy="1875910"/>
                    </a:xfrm>
                    <a:prstGeom prst="rect">
                      <a:avLst/>
                    </a:prstGeom>
                    <a:ln>
                      <a:noFill/>
                    </a:ln>
                    <a:extLst>
                      <a:ext uri="{53640926-AAD7-44D8-BBD7-CCE9431645EC}">
                        <a14:shadowObscured xmlns:a14="http://schemas.microsoft.com/office/drawing/2010/main"/>
                      </a:ext>
                    </a:extLst>
                  </pic:spPr>
                </pic:pic>
              </a:graphicData>
            </a:graphic>
          </wp:inline>
        </w:drawing>
      </w:r>
    </w:p>
    <w:p w14:paraId="1B4DC7AE" w14:textId="20E1203E" w:rsidR="00BB6A16" w:rsidRPr="003948EA" w:rsidRDefault="00BB6A16" w:rsidP="003916D3">
      <w:pPr>
        <w:rPr>
          <w:i/>
          <w:iCs/>
          <w:lang w:eastAsia="zh-CN"/>
        </w:rPr>
      </w:pPr>
      <w:r w:rsidRPr="003948EA">
        <w:rPr>
          <w:i/>
          <w:iCs/>
          <w:lang w:val="en-GB" w:eastAsia="zh-CN"/>
        </w:rPr>
        <w:t>Figure 1: Secondary DRX</w:t>
      </w:r>
    </w:p>
    <w:p w14:paraId="58B38FAF" w14:textId="6E960F4E" w:rsidR="002F0172" w:rsidRDefault="00C11F6F" w:rsidP="003916D3">
      <w:pPr>
        <w:rPr>
          <w:lang w:val="en-GB" w:eastAsia="zh-CN"/>
        </w:rPr>
      </w:pPr>
      <w:r>
        <w:rPr>
          <w:lang w:val="en-GB" w:eastAsia="zh-CN"/>
        </w:rPr>
        <w:t xml:space="preserve">The secondary DRX is a simple solution, because it builds on the DRX functionality supported by all UEs. </w:t>
      </w:r>
      <w:r w:rsidR="00076996">
        <w:rPr>
          <w:lang w:val="en-GB" w:eastAsia="zh-CN"/>
        </w:rPr>
        <w:t xml:space="preserve">The changes to the </w:t>
      </w:r>
      <w:r w:rsidR="00C54FB4">
        <w:rPr>
          <w:lang w:val="en-GB" w:eastAsia="zh-CN"/>
        </w:rPr>
        <w:t xml:space="preserve">legacy </w:t>
      </w:r>
      <w:r w:rsidR="00076996">
        <w:rPr>
          <w:lang w:val="en-GB" w:eastAsia="zh-CN"/>
        </w:rPr>
        <w:t xml:space="preserve">DRX operations are </w:t>
      </w:r>
      <w:r w:rsidR="00FC77FE">
        <w:rPr>
          <w:lang w:val="en-GB" w:eastAsia="zh-CN"/>
        </w:rPr>
        <w:t xml:space="preserve">limited to those enhancements that provide the main power </w:t>
      </w:r>
      <w:r w:rsidR="00C54FB4">
        <w:rPr>
          <w:lang w:val="en-GB" w:eastAsia="zh-CN"/>
        </w:rPr>
        <w:t>saving gains</w:t>
      </w:r>
      <w:r w:rsidR="00FC77FE">
        <w:rPr>
          <w:lang w:val="en-GB" w:eastAsia="zh-CN"/>
        </w:rPr>
        <w:t xml:space="preserve">. </w:t>
      </w:r>
    </w:p>
    <w:p w14:paraId="527A54A0" w14:textId="5F3258E7" w:rsidR="00A71F2E" w:rsidRPr="00A71F2E" w:rsidRDefault="00D80286" w:rsidP="003916D3">
      <w:pPr>
        <w:rPr>
          <w:b/>
          <w:bCs/>
          <w:u w:val="single"/>
          <w:lang w:val="en-GB" w:eastAsia="zh-CN"/>
        </w:rPr>
      </w:pPr>
      <w:r>
        <w:rPr>
          <w:b/>
          <w:bCs/>
          <w:u w:val="single"/>
          <w:lang w:val="en-GB" w:eastAsia="zh-CN"/>
        </w:rPr>
        <w:t>Impact on other WGs</w:t>
      </w:r>
    </w:p>
    <w:p w14:paraId="6C174651" w14:textId="2222A201" w:rsidR="003D1674" w:rsidRDefault="003916D3" w:rsidP="003916D3">
      <w:pPr>
        <w:rPr>
          <w:lang w:val="en-GB" w:eastAsia="zh-CN"/>
        </w:rPr>
      </w:pPr>
      <w:r>
        <w:rPr>
          <w:lang w:val="en-GB" w:eastAsia="zh-CN"/>
        </w:rPr>
        <w:t>RAN2 agreed to introduce</w:t>
      </w:r>
      <w:r w:rsidR="005D0FCE">
        <w:rPr>
          <w:lang w:val="en-GB" w:eastAsia="zh-CN"/>
        </w:rPr>
        <w:t xml:space="preserve"> a simple</w:t>
      </w:r>
      <w:r>
        <w:rPr>
          <w:lang w:val="en-GB" w:eastAsia="zh-CN"/>
        </w:rPr>
        <w:t xml:space="preserve"> secondary DRX</w:t>
      </w:r>
      <w:r w:rsidR="00076996">
        <w:rPr>
          <w:lang w:val="en-GB" w:eastAsia="zh-CN"/>
        </w:rPr>
        <w:t xml:space="preserve"> solution</w:t>
      </w:r>
      <w:r>
        <w:rPr>
          <w:lang w:val="en-GB" w:eastAsia="zh-CN"/>
        </w:rPr>
        <w:t xml:space="preserve"> in REL-16 provided that there is no or an acceptable impact on RAN1 and RAN4 working group</w:t>
      </w:r>
      <w:r w:rsidR="00300CB6">
        <w:rPr>
          <w:lang w:val="en-GB" w:eastAsia="zh-CN"/>
        </w:rPr>
        <w:t xml:space="preserve"> [1]</w:t>
      </w:r>
      <w:r>
        <w:rPr>
          <w:lang w:val="en-GB" w:eastAsia="zh-CN"/>
        </w:rPr>
        <w:t xml:space="preserve">. </w:t>
      </w:r>
      <w:r w:rsidR="00E7445E">
        <w:rPr>
          <w:lang w:val="en-GB" w:eastAsia="zh-CN"/>
        </w:rPr>
        <w:t>RAN2 asked RAN1 and RAN4 about the possible impact.</w:t>
      </w:r>
    </w:p>
    <w:p w14:paraId="1F932588" w14:textId="392C7A89" w:rsidR="003D1674" w:rsidRDefault="003916D3" w:rsidP="003916D3">
      <w:pPr>
        <w:rPr>
          <w:lang w:val="en-GB" w:eastAsia="zh-CN"/>
        </w:rPr>
      </w:pPr>
      <w:r>
        <w:rPr>
          <w:lang w:val="en-GB" w:eastAsia="zh-CN"/>
        </w:rPr>
        <w:t>RAN1 could not confirm that</w:t>
      </w:r>
      <w:r w:rsidR="00983FC2">
        <w:rPr>
          <w:lang w:val="en-GB" w:eastAsia="zh-CN"/>
        </w:rPr>
        <w:t xml:space="preserve"> there is </w:t>
      </w:r>
      <w:r w:rsidR="00300CB6">
        <w:rPr>
          <w:lang w:val="en-GB" w:eastAsia="zh-CN"/>
        </w:rPr>
        <w:t xml:space="preserve">no or </w:t>
      </w:r>
      <w:r w:rsidR="00983FC2">
        <w:rPr>
          <w:lang w:val="en-GB" w:eastAsia="zh-CN"/>
        </w:rPr>
        <w:t>an acceptable impact</w:t>
      </w:r>
      <w:r>
        <w:rPr>
          <w:lang w:val="en-GB" w:eastAsia="zh-CN"/>
        </w:rPr>
        <w:t xml:space="preserve"> [</w:t>
      </w:r>
      <w:r w:rsidR="00300CB6">
        <w:rPr>
          <w:lang w:val="en-GB" w:eastAsia="zh-CN"/>
        </w:rPr>
        <w:t>2</w:t>
      </w:r>
      <w:r>
        <w:rPr>
          <w:lang w:val="en-GB" w:eastAsia="zh-CN"/>
        </w:rPr>
        <w:t xml:space="preserve">], especially when </w:t>
      </w:r>
      <w:r w:rsidR="00300CB6">
        <w:rPr>
          <w:lang w:val="en-GB" w:eastAsia="zh-CN"/>
        </w:rPr>
        <w:t>Wake-Up Signal (</w:t>
      </w:r>
      <w:r>
        <w:rPr>
          <w:lang w:val="en-GB" w:eastAsia="zh-CN"/>
        </w:rPr>
        <w:t>WUS</w:t>
      </w:r>
      <w:r w:rsidR="00300CB6">
        <w:rPr>
          <w:lang w:val="en-GB" w:eastAsia="zh-CN"/>
        </w:rPr>
        <w:t>)</w:t>
      </w:r>
      <w:r>
        <w:rPr>
          <w:lang w:val="en-GB" w:eastAsia="zh-CN"/>
        </w:rPr>
        <w:t xml:space="preserve"> and SCell dormancy are configured </w:t>
      </w:r>
      <w:r w:rsidR="00983FC2">
        <w:rPr>
          <w:lang w:val="en-GB" w:eastAsia="zh-CN"/>
        </w:rPr>
        <w:t>simultaneously</w:t>
      </w:r>
      <w:r>
        <w:rPr>
          <w:lang w:val="en-GB" w:eastAsia="zh-CN"/>
        </w:rPr>
        <w:t xml:space="preserve"> with secondary DRX. To avoid potential problems</w:t>
      </w:r>
      <w:r w:rsidR="00270A95">
        <w:rPr>
          <w:lang w:val="en-GB" w:eastAsia="zh-CN"/>
        </w:rPr>
        <w:t xml:space="preserve"> pointed out by RAN1,</w:t>
      </w:r>
      <w:r>
        <w:rPr>
          <w:lang w:val="en-GB" w:eastAsia="zh-CN"/>
        </w:rPr>
        <w:t xml:space="preserve"> RAN2 agreed to not support secondary DRX with WUS </w:t>
      </w:r>
      <w:r w:rsidR="00E7445E">
        <w:rPr>
          <w:lang w:val="en-GB" w:eastAsia="zh-CN"/>
        </w:rPr>
        <w:t xml:space="preserve">simultaneously </w:t>
      </w:r>
      <w:r>
        <w:rPr>
          <w:lang w:val="en-GB" w:eastAsia="zh-CN"/>
        </w:rPr>
        <w:t xml:space="preserve">nor </w:t>
      </w:r>
      <w:r w:rsidR="003D1674">
        <w:rPr>
          <w:lang w:val="en-GB" w:eastAsia="zh-CN"/>
        </w:rPr>
        <w:t xml:space="preserve">secondary DRX </w:t>
      </w:r>
      <w:r w:rsidR="00E7445E">
        <w:rPr>
          <w:lang w:val="en-GB" w:eastAsia="zh-CN"/>
        </w:rPr>
        <w:t xml:space="preserve">with </w:t>
      </w:r>
      <w:r>
        <w:rPr>
          <w:lang w:val="en-GB" w:eastAsia="zh-CN"/>
        </w:rPr>
        <w:t>SCell dormancy simultaneously</w:t>
      </w:r>
      <w:r w:rsidR="00032140">
        <w:rPr>
          <w:lang w:val="en-GB" w:eastAsia="zh-CN"/>
        </w:rPr>
        <w:t xml:space="preserve"> [3]</w:t>
      </w:r>
      <w:r w:rsidR="003D1674">
        <w:rPr>
          <w:lang w:val="en-GB" w:eastAsia="zh-CN"/>
        </w:rPr>
        <w:t xml:space="preserve">. Furthermore </w:t>
      </w:r>
      <w:r w:rsidR="00E7445E">
        <w:rPr>
          <w:lang w:val="en-GB" w:eastAsia="zh-CN"/>
        </w:rPr>
        <w:t xml:space="preserve">RAN2 </w:t>
      </w:r>
      <w:r>
        <w:rPr>
          <w:lang w:val="en-GB" w:eastAsia="zh-CN"/>
        </w:rPr>
        <w:t xml:space="preserve">selected a simple solution to limit the overall impact. </w:t>
      </w:r>
    </w:p>
    <w:p w14:paraId="7230C47A" w14:textId="1628508D" w:rsidR="003D1674" w:rsidRDefault="003916D3" w:rsidP="003916D3">
      <w:pPr>
        <w:rPr>
          <w:lang w:val="en-GB" w:eastAsia="zh-CN"/>
        </w:rPr>
      </w:pPr>
      <w:r>
        <w:rPr>
          <w:lang w:val="en-GB" w:eastAsia="zh-CN"/>
        </w:rPr>
        <w:t xml:space="preserve">RAN4 indicated that introduction of secondary DRX poses </w:t>
      </w:r>
      <w:r w:rsidR="0093360C">
        <w:rPr>
          <w:lang w:val="en-GB" w:eastAsia="zh-CN"/>
        </w:rPr>
        <w:t>a limited</w:t>
      </w:r>
      <w:r>
        <w:rPr>
          <w:lang w:val="en-GB" w:eastAsia="zh-CN"/>
        </w:rPr>
        <w:t xml:space="preserve"> impact on RAN4</w:t>
      </w:r>
      <w:r w:rsidR="00E2271F">
        <w:rPr>
          <w:lang w:val="en-GB" w:eastAsia="zh-CN"/>
        </w:rPr>
        <w:t xml:space="preserve"> (allowed interruption</w:t>
      </w:r>
      <w:r w:rsidR="00D22834">
        <w:rPr>
          <w:lang w:val="en-GB" w:eastAsia="zh-CN"/>
        </w:rPr>
        <w:t>s</w:t>
      </w:r>
      <w:r w:rsidR="00E2271F">
        <w:rPr>
          <w:lang w:val="en-GB" w:eastAsia="zh-CN"/>
        </w:rPr>
        <w:t>)</w:t>
      </w:r>
      <w:r>
        <w:rPr>
          <w:lang w:val="en-GB" w:eastAsia="zh-CN"/>
        </w:rPr>
        <w:t xml:space="preserve">, and RAN4 can do the work </w:t>
      </w:r>
      <w:r w:rsidR="00D22834">
        <w:rPr>
          <w:lang w:val="en-GB" w:eastAsia="zh-CN"/>
        </w:rPr>
        <w:t xml:space="preserve">in REL-16 </w:t>
      </w:r>
      <w:r>
        <w:rPr>
          <w:lang w:val="en-GB" w:eastAsia="zh-CN"/>
        </w:rPr>
        <w:t xml:space="preserve">when RAN2 has reached a </w:t>
      </w:r>
      <w:r w:rsidR="00D80286">
        <w:rPr>
          <w:lang w:val="en-GB" w:eastAsia="zh-CN"/>
        </w:rPr>
        <w:t>formal</w:t>
      </w:r>
      <w:r>
        <w:rPr>
          <w:lang w:val="en-GB" w:eastAsia="zh-CN"/>
        </w:rPr>
        <w:t xml:space="preserve"> decision</w:t>
      </w:r>
      <w:r w:rsidR="00D250A8">
        <w:rPr>
          <w:lang w:val="en-GB" w:eastAsia="zh-CN"/>
        </w:rPr>
        <w:t xml:space="preserve"> [</w:t>
      </w:r>
      <w:r w:rsidR="00032140">
        <w:rPr>
          <w:lang w:val="en-GB" w:eastAsia="zh-CN"/>
        </w:rPr>
        <w:t>4</w:t>
      </w:r>
      <w:r w:rsidR="00D250A8">
        <w:rPr>
          <w:lang w:val="en-GB" w:eastAsia="zh-CN"/>
        </w:rPr>
        <w:t>]</w:t>
      </w:r>
      <w:r>
        <w:rPr>
          <w:lang w:val="en-GB" w:eastAsia="zh-CN"/>
        </w:rPr>
        <w:t xml:space="preserve">. </w:t>
      </w:r>
    </w:p>
    <w:p w14:paraId="1D6DDF27" w14:textId="7868F74E" w:rsidR="00D80286" w:rsidRPr="00D80286" w:rsidRDefault="00D80286" w:rsidP="003916D3">
      <w:pPr>
        <w:rPr>
          <w:b/>
          <w:bCs/>
          <w:u w:val="single"/>
          <w:lang w:val="en-GB" w:eastAsia="zh-CN"/>
        </w:rPr>
      </w:pPr>
      <w:r w:rsidRPr="00D80286">
        <w:rPr>
          <w:b/>
          <w:bCs/>
          <w:u w:val="single"/>
          <w:lang w:val="en-GB" w:eastAsia="zh-CN"/>
        </w:rPr>
        <w:t>Proposed way forward</w:t>
      </w:r>
    </w:p>
    <w:p w14:paraId="025D9043" w14:textId="044250CB" w:rsidR="00D22834" w:rsidRPr="008C6177" w:rsidRDefault="001774EA" w:rsidP="003916D3">
      <w:pPr>
        <w:rPr>
          <w:szCs w:val="20"/>
          <w:lang w:val="en-GB" w:eastAsia="zh-CN"/>
        </w:rPr>
      </w:pPr>
      <w:r w:rsidRPr="008C6177">
        <w:rPr>
          <w:szCs w:val="20"/>
        </w:rPr>
        <w:t xml:space="preserve">RAN2 was able to </w:t>
      </w:r>
      <w:r w:rsidRPr="008C6177">
        <w:rPr>
          <w:szCs w:val="20"/>
          <w:lang w:val="en-GB" w:eastAsia="zh-CN"/>
        </w:rPr>
        <w:t xml:space="preserve">resolve the technical issues and technically endorsed the RAN2 CRs for secondary DRX [5-7] in RAN2 #110-e. However, RAN2 was not able to reach </w:t>
      </w:r>
      <w:r w:rsidRPr="008C6177">
        <w:rPr>
          <w:rFonts w:cs="Arial"/>
          <w:color w:val="242729"/>
          <w:szCs w:val="20"/>
          <w:shd w:val="clear" w:color="auto" w:fill="FFFFFF"/>
        </w:rPr>
        <w:t>unanimous agreement on whether to introduce secondary DRX in REL-16 or in a later release</w:t>
      </w:r>
      <w:r w:rsidR="00E363A7" w:rsidRPr="008C6177">
        <w:rPr>
          <w:szCs w:val="20"/>
          <w:lang w:val="en-GB" w:eastAsia="zh-CN"/>
        </w:rPr>
        <w:t xml:space="preserve">. </w:t>
      </w:r>
    </w:p>
    <w:p w14:paraId="7DB77371" w14:textId="7F222E2B" w:rsidR="00945767" w:rsidRDefault="00D22834" w:rsidP="003916D3">
      <w:pPr>
        <w:rPr>
          <w:lang w:val="en-GB" w:eastAsia="zh-CN"/>
        </w:rPr>
      </w:pPr>
      <w:r w:rsidRPr="000870B0">
        <w:rPr>
          <w:szCs w:val="20"/>
          <w:lang w:val="en-GB" w:eastAsia="zh-CN"/>
        </w:rPr>
        <w:t>Because t</w:t>
      </w:r>
      <w:r w:rsidR="00945767" w:rsidRPr="000870B0">
        <w:rPr>
          <w:szCs w:val="20"/>
          <w:lang w:val="en-GB" w:eastAsia="zh-CN"/>
        </w:rPr>
        <w:t xml:space="preserve">he secondary DRX solution addresses a real problem observed in the field, and due to the large support from </w:t>
      </w:r>
      <w:r w:rsidR="00C01CBF" w:rsidRPr="004B59F9">
        <w:rPr>
          <w:szCs w:val="20"/>
          <w:lang w:val="en-GB" w:eastAsia="zh-CN"/>
        </w:rPr>
        <w:t xml:space="preserve">both </w:t>
      </w:r>
      <w:r w:rsidR="00945767" w:rsidRPr="004B59F9">
        <w:rPr>
          <w:szCs w:val="20"/>
          <w:lang w:val="en-GB" w:eastAsia="zh-CN"/>
        </w:rPr>
        <w:t>operat</w:t>
      </w:r>
      <w:r w:rsidR="00270A95">
        <w:rPr>
          <w:szCs w:val="20"/>
          <w:lang w:val="en-GB" w:eastAsia="zh-CN"/>
        </w:rPr>
        <w:t>ors</w:t>
      </w:r>
      <w:r w:rsidR="00945767">
        <w:rPr>
          <w:lang w:val="en-GB" w:eastAsia="zh-CN"/>
        </w:rPr>
        <w:t xml:space="preserve"> and UE vendors</w:t>
      </w:r>
      <w:r w:rsidR="00607EC7">
        <w:rPr>
          <w:lang w:val="en-GB" w:eastAsia="zh-CN"/>
        </w:rPr>
        <w:t xml:space="preserve"> for the proposed solution</w:t>
      </w:r>
      <w:r w:rsidR="00C01CBF">
        <w:rPr>
          <w:lang w:val="en-GB" w:eastAsia="zh-CN"/>
        </w:rPr>
        <w:t xml:space="preserve">, it is proposed to introduce secondary DRX in REL-16: </w:t>
      </w:r>
      <w:bookmarkStart w:id="4" w:name="_GoBack"/>
      <w:bookmarkEnd w:id="4"/>
    </w:p>
    <w:p w14:paraId="03735B22" w14:textId="2E5057F8" w:rsidR="00E2271F" w:rsidRDefault="00234781" w:rsidP="003916D3">
      <w:pPr>
        <w:rPr>
          <w:lang w:val="en-GB" w:eastAsia="zh-CN"/>
        </w:rPr>
      </w:pPr>
      <w:r w:rsidRPr="00234781">
        <w:rPr>
          <w:b/>
          <w:bCs/>
          <w:lang w:val="en-GB" w:eastAsia="zh-CN"/>
        </w:rPr>
        <w:t>Proposal</w:t>
      </w:r>
      <w:r w:rsidR="00E2271F">
        <w:rPr>
          <w:b/>
          <w:bCs/>
          <w:lang w:val="en-GB" w:eastAsia="zh-CN"/>
        </w:rPr>
        <w:t xml:space="preserve"> 1</w:t>
      </w:r>
      <w:r>
        <w:rPr>
          <w:lang w:val="en-GB" w:eastAsia="zh-CN"/>
        </w:rPr>
        <w:t>: Secondary DRX is introduced in REL-16</w:t>
      </w:r>
      <w:r w:rsidR="00F17A1B">
        <w:rPr>
          <w:lang w:val="en-GB" w:eastAsia="zh-CN"/>
        </w:rPr>
        <w:t>.</w:t>
      </w:r>
    </w:p>
    <w:p w14:paraId="5B4B8EBF" w14:textId="5BCF8534" w:rsidR="00C01CBF" w:rsidRDefault="00C01CBF" w:rsidP="003916D3">
      <w:pPr>
        <w:rPr>
          <w:lang w:val="en-GB" w:eastAsia="zh-CN"/>
        </w:rPr>
      </w:pPr>
      <w:r>
        <w:rPr>
          <w:lang w:val="en-GB" w:eastAsia="zh-CN"/>
        </w:rPr>
        <w:t>The impact on RAN4 is limited</w:t>
      </w:r>
      <w:r w:rsidR="00270A95">
        <w:rPr>
          <w:lang w:val="en-GB" w:eastAsia="zh-CN"/>
        </w:rPr>
        <w:t xml:space="preserve"> [4]</w:t>
      </w:r>
      <w:r>
        <w:rPr>
          <w:lang w:val="en-GB" w:eastAsia="zh-CN"/>
        </w:rPr>
        <w:t>, and RAN4 is assumed to do the work in a single meeting</w:t>
      </w:r>
      <w:r w:rsidR="00607EC7">
        <w:rPr>
          <w:lang w:val="en-GB" w:eastAsia="zh-CN"/>
        </w:rPr>
        <w:t xml:space="preserve"> in August</w:t>
      </w:r>
      <w:r>
        <w:rPr>
          <w:lang w:val="en-GB" w:eastAsia="zh-CN"/>
        </w:rPr>
        <w:t xml:space="preserve">: </w:t>
      </w:r>
    </w:p>
    <w:p w14:paraId="5F21E9F1" w14:textId="0659F8B1" w:rsidR="00234781" w:rsidRDefault="00E2271F" w:rsidP="003916D3">
      <w:pPr>
        <w:rPr>
          <w:lang w:val="en-GB" w:eastAsia="zh-CN"/>
        </w:rPr>
      </w:pPr>
      <w:r w:rsidRPr="00E2271F">
        <w:rPr>
          <w:b/>
          <w:bCs/>
          <w:lang w:val="en-GB" w:eastAsia="zh-CN"/>
        </w:rPr>
        <w:t>Proposal 2</w:t>
      </w:r>
      <w:r>
        <w:rPr>
          <w:lang w:val="en-GB" w:eastAsia="zh-CN"/>
        </w:rPr>
        <w:t xml:space="preserve">: </w:t>
      </w:r>
      <w:r w:rsidR="00234781">
        <w:rPr>
          <w:lang w:val="en-GB" w:eastAsia="zh-CN"/>
        </w:rPr>
        <w:t xml:space="preserve">RAN4 is </w:t>
      </w:r>
      <w:r>
        <w:rPr>
          <w:lang w:val="en-GB" w:eastAsia="zh-CN"/>
        </w:rPr>
        <w:t>t</w:t>
      </w:r>
      <w:r w:rsidR="00234781">
        <w:rPr>
          <w:lang w:val="en-GB" w:eastAsia="zh-CN"/>
        </w:rPr>
        <w:t xml:space="preserve">asked to </w:t>
      </w:r>
      <w:r>
        <w:rPr>
          <w:lang w:val="en-GB" w:eastAsia="zh-CN"/>
        </w:rPr>
        <w:t xml:space="preserve">introduce the </w:t>
      </w:r>
      <w:r w:rsidR="009D19F6">
        <w:rPr>
          <w:lang w:val="en-GB" w:eastAsia="zh-CN"/>
        </w:rPr>
        <w:t xml:space="preserve">RAN4 </w:t>
      </w:r>
      <w:r w:rsidR="00607EC7">
        <w:rPr>
          <w:lang w:val="en-GB" w:eastAsia="zh-CN"/>
        </w:rPr>
        <w:t xml:space="preserve">core </w:t>
      </w:r>
      <w:r>
        <w:rPr>
          <w:lang w:val="en-GB" w:eastAsia="zh-CN"/>
        </w:rPr>
        <w:t>requirements</w:t>
      </w:r>
      <w:r w:rsidR="009D19F6">
        <w:rPr>
          <w:lang w:val="en-GB" w:eastAsia="zh-CN"/>
        </w:rPr>
        <w:t xml:space="preserve"> for secondary DRX</w:t>
      </w:r>
      <w:r w:rsidR="00F17A1B">
        <w:rPr>
          <w:lang w:val="en-GB" w:eastAsia="zh-CN"/>
        </w:rPr>
        <w:t>.</w:t>
      </w:r>
    </w:p>
    <w:p w14:paraId="31671448" w14:textId="46D5E029" w:rsidR="00472597" w:rsidRDefault="00472597" w:rsidP="003916D3">
      <w:pPr>
        <w:rPr>
          <w:lang w:val="en-GB" w:eastAsia="zh-CN"/>
        </w:rPr>
      </w:pPr>
      <w:r>
        <w:rPr>
          <w:lang w:val="en-GB" w:eastAsia="zh-CN"/>
        </w:rPr>
        <w:t>RAN2 has technically endorsed the CRs</w:t>
      </w:r>
      <w:r w:rsidR="004F6B52">
        <w:rPr>
          <w:lang w:val="en-GB" w:eastAsia="zh-CN"/>
        </w:rPr>
        <w:t xml:space="preserve"> [5-7]</w:t>
      </w:r>
      <w:r>
        <w:rPr>
          <w:lang w:val="en-GB" w:eastAsia="zh-CN"/>
        </w:rPr>
        <w:t xml:space="preserve">, and it would be beneficial to merge the secondary DRX CRs in the </w:t>
      </w:r>
      <w:r w:rsidR="00996097">
        <w:rPr>
          <w:lang w:val="en-GB" w:eastAsia="zh-CN"/>
        </w:rPr>
        <w:t>REL-16 version of the specification</w:t>
      </w:r>
      <w:r>
        <w:rPr>
          <w:lang w:val="en-GB" w:eastAsia="zh-CN"/>
        </w:rPr>
        <w:t xml:space="preserve">: </w:t>
      </w:r>
    </w:p>
    <w:p w14:paraId="578270D1" w14:textId="653B990C" w:rsidR="009D19F6" w:rsidRPr="00111E19" w:rsidRDefault="009D19F6" w:rsidP="003916D3">
      <w:pPr>
        <w:rPr>
          <w:lang w:val="en-GB" w:eastAsia="zh-CN"/>
        </w:rPr>
      </w:pPr>
      <w:r w:rsidRPr="00E2271F">
        <w:rPr>
          <w:b/>
          <w:bCs/>
          <w:lang w:val="en-GB" w:eastAsia="zh-CN"/>
        </w:rPr>
        <w:t xml:space="preserve">Proposal </w:t>
      </w:r>
      <w:r>
        <w:rPr>
          <w:b/>
          <w:bCs/>
          <w:lang w:val="en-GB" w:eastAsia="zh-CN"/>
        </w:rPr>
        <w:t>3</w:t>
      </w:r>
      <w:r>
        <w:rPr>
          <w:lang w:val="en-GB" w:eastAsia="zh-CN"/>
        </w:rPr>
        <w:t xml:space="preserve">: The RAN2 CRs </w:t>
      </w:r>
      <w:r w:rsidR="00AE1EE5">
        <w:rPr>
          <w:lang w:val="en-GB" w:eastAsia="zh-CN"/>
        </w:rPr>
        <w:t>for secondary DRX [</w:t>
      </w:r>
      <w:r w:rsidR="00E90E4D">
        <w:rPr>
          <w:lang w:val="en-GB" w:eastAsia="zh-CN"/>
        </w:rPr>
        <w:t>5</w:t>
      </w:r>
      <w:r w:rsidR="00AE1EE5">
        <w:rPr>
          <w:lang w:val="en-GB" w:eastAsia="zh-CN"/>
        </w:rPr>
        <w:t>-</w:t>
      </w:r>
      <w:r w:rsidR="00E90E4D">
        <w:rPr>
          <w:lang w:val="en-GB" w:eastAsia="zh-CN"/>
        </w:rPr>
        <w:t>7</w:t>
      </w:r>
      <w:r w:rsidR="00AE1EE5">
        <w:rPr>
          <w:lang w:val="en-GB" w:eastAsia="zh-CN"/>
        </w:rPr>
        <w:t xml:space="preserve">] </w:t>
      </w:r>
      <w:r>
        <w:rPr>
          <w:lang w:val="en-GB" w:eastAsia="zh-CN"/>
        </w:rPr>
        <w:t>are approved</w:t>
      </w:r>
      <w:r w:rsidR="00F17A1B">
        <w:rPr>
          <w:lang w:val="en-GB" w:eastAsia="zh-CN"/>
        </w:rPr>
        <w:t>.</w:t>
      </w:r>
    </w:p>
    <w:p w14:paraId="5E650D32" w14:textId="77777777" w:rsidR="009D725A" w:rsidRDefault="009D725A" w:rsidP="009D725A">
      <w:pPr>
        <w:pStyle w:val="Heading1"/>
        <w:jc w:val="both"/>
      </w:pPr>
      <w:r>
        <w:t>Summary</w:t>
      </w:r>
      <w:bookmarkEnd w:id="3"/>
    </w:p>
    <w:p w14:paraId="65B81F03" w14:textId="5DDF1B1B" w:rsidR="001659F2" w:rsidRDefault="001659F2" w:rsidP="001659F2">
      <w:bookmarkStart w:id="5" w:name="_Toc242573361"/>
      <w:r>
        <w:t xml:space="preserve">RAN2 is kindly asked to </w:t>
      </w:r>
      <w:r w:rsidR="00910638">
        <w:t xml:space="preserve">discuss </w:t>
      </w:r>
      <w:r w:rsidR="00F17A1B">
        <w:t>secondary DRX</w:t>
      </w:r>
      <w:r>
        <w:t xml:space="preserve">: </w:t>
      </w:r>
    </w:p>
    <w:p w14:paraId="264E3D69" w14:textId="77777777" w:rsidR="00AE1EE5" w:rsidRDefault="00AE1EE5" w:rsidP="00AE1EE5">
      <w:pPr>
        <w:rPr>
          <w:lang w:val="en-GB" w:eastAsia="zh-CN"/>
        </w:rPr>
      </w:pPr>
      <w:r w:rsidRPr="00234781">
        <w:rPr>
          <w:b/>
          <w:bCs/>
          <w:lang w:val="en-GB" w:eastAsia="zh-CN"/>
        </w:rPr>
        <w:t>Proposal</w:t>
      </w:r>
      <w:r>
        <w:rPr>
          <w:b/>
          <w:bCs/>
          <w:lang w:val="en-GB" w:eastAsia="zh-CN"/>
        </w:rPr>
        <w:t xml:space="preserve"> 1</w:t>
      </w:r>
      <w:r>
        <w:rPr>
          <w:lang w:val="en-GB" w:eastAsia="zh-CN"/>
        </w:rPr>
        <w:t>: Secondary DRX is introduced in REL-16.</w:t>
      </w:r>
    </w:p>
    <w:p w14:paraId="0C37FA93" w14:textId="77777777" w:rsidR="00AE1EE5" w:rsidRDefault="00AE1EE5" w:rsidP="00AE1EE5">
      <w:pPr>
        <w:rPr>
          <w:lang w:val="en-GB" w:eastAsia="zh-CN"/>
        </w:rPr>
      </w:pPr>
      <w:r w:rsidRPr="00E2271F">
        <w:rPr>
          <w:b/>
          <w:bCs/>
          <w:lang w:val="en-GB" w:eastAsia="zh-CN"/>
        </w:rPr>
        <w:t>Proposal 2</w:t>
      </w:r>
      <w:r>
        <w:rPr>
          <w:lang w:val="en-GB" w:eastAsia="zh-CN"/>
        </w:rPr>
        <w:t>: RAN4 is tasked to introduce the RAN4 core requirements for secondary DRX.</w:t>
      </w:r>
    </w:p>
    <w:p w14:paraId="1285678A" w14:textId="7FA1DC5C" w:rsidR="00AE1EE5" w:rsidRPr="00111E19" w:rsidRDefault="00AE1EE5" w:rsidP="00AE1EE5">
      <w:pPr>
        <w:rPr>
          <w:lang w:val="en-GB" w:eastAsia="zh-CN"/>
        </w:rPr>
      </w:pPr>
      <w:r w:rsidRPr="00E2271F">
        <w:rPr>
          <w:b/>
          <w:bCs/>
          <w:lang w:val="en-GB" w:eastAsia="zh-CN"/>
        </w:rPr>
        <w:t xml:space="preserve">Proposal </w:t>
      </w:r>
      <w:r>
        <w:rPr>
          <w:b/>
          <w:bCs/>
          <w:lang w:val="en-GB" w:eastAsia="zh-CN"/>
        </w:rPr>
        <w:t>3</w:t>
      </w:r>
      <w:r>
        <w:rPr>
          <w:lang w:val="en-GB" w:eastAsia="zh-CN"/>
        </w:rPr>
        <w:t>: The RAN2 CRs for secondary DRX [</w:t>
      </w:r>
      <w:r w:rsidR="008C6177">
        <w:rPr>
          <w:lang w:val="en-GB" w:eastAsia="zh-CN"/>
        </w:rPr>
        <w:t>5</w:t>
      </w:r>
      <w:r>
        <w:rPr>
          <w:lang w:val="en-GB" w:eastAsia="zh-CN"/>
        </w:rPr>
        <w:t>-</w:t>
      </w:r>
      <w:r w:rsidR="008C6177">
        <w:rPr>
          <w:lang w:val="en-GB" w:eastAsia="zh-CN"/>
        </w:rPr>
        <w:t>7</w:t>
      </w:r>
      <w:r>
        <w:rPr>
          <w:lang w:val="en-GB" w:eastAsia="zh-CN"/>
        </w:rPr>
        <w:t>] are approved.</w:t>
      </w:r>
    </w:p>
    <w:p w14:paraId="5A15FD36" w14:textId="77777777" w:rsidR="009D725A" w:rsidRDefault="009D725A" w:rsidP="009D725A">
      <w:pPr>
        <w:pStyle w:val="Heading1"/>
        <w:rPr>
          <w:noProof/>
        </w:rPr>
      </w:pPr>
      <w:r>
        <w:rPr>
          <w:noProof/>
        </w:rPr>
        <w:t>References</w:t>
      </w:r>
      <w:bookmarkEnd w:id="5"/>
    </w:p>
    <w:p w14:paraId="5FBF845D" w14:textId="2DCB26A5" w:rsidR="00C15FA1" w:rsidRPr="00C15FA1" w:rsidRDefault="008175EC" w:rsidP="002B3446">
      <w:pPr>
        <w:pStyle w:val="Doc-title"/>
        <w:widowControl w:val="0"/>
        <w:numPr>
          <w:ilvl w:val="0"/>
          <w:numId w:val="41"/>
        </w:numPr>
        <w:spacing w:after="120"/>
        <w:rPr>
          <w:sz w:val="16"/>
          <w:szCs w:val="16"/>
        </w:rPr>
      </w:pPr>
      <w:hyperlink r:id="rId11" w:history="1">
        <w:r w:rsidR="00C15FA1">
          <w:rPr>
            <w:rStyle w:val="Hyperlink"/>
            <w:sz w:val="16"/>
            <w:szCs w:val="16"/>
          </w:rPr>
          <w:t>R2-2000009</w:t>
        </w:r>
      </w:hyperlink>
      <w:r w:rsidR="00C15FA1">
        <w:rPr>
          <w:sz w:val="16"/>
          <w:szCs w:val="16"/>
        </w:rPr>
        <w:t xml:space="preserve">, </w:t>
      </w:r>
      <w:r w:rsidR="00C15FA1" w:rsidRPr="00C15FA1">
        <w:rPr>
          <w:i/>
          <w:iCs/>
          <w:sz w:val="16"/>
          <w:szCs w:val="16"/>
        </w:rPr>
        <w:t>RAN2#108 Meeting Report</w:t>
      </w:r>
      <w:r w:rsidR="00C15FA1">
        <w:rPr>
          <w:sz w:val="16"/>
          <w:szCs w:val="16"/>
        </w:rPr>
        <w:t xml:space="preserve">, </w:t>
      </w:r>
      <w:r w:rsidR="00C15FA1" w:rsidRPr="00C15FA1">
        <w:rPr>
          <w:sz w:val="16"/>
          <w:szCs w:val="16"/>
        </w:rPr>
        <w:t>MC</w:t>
      </w:r>
      <w:r w:rsidR="00C15FA1">
        <w:rPr>
          <w:sz w:val="16"/>
          <w:szCs w:val="16"/>
        </w:rPr>
        <w:t>C, RAN2#108</w:t>
      </w:r>
    </w:p>
    <w:p w14:paraId="2B2276EF" w14:textId="4F89D5F8" w:rsidR="002B3446" w:rsidRDefault="008175EC" w:rsidP="002B3446">
      <w:pPr>
        <w:pStyle w:val="Doc-title"/>
        <w:widowControl w:val="0"/>
        <w:numPr>
          <w:ilvl w:val="0"/>
          <w:numId w:val="41"/>
        </w:numPr>
        <w:spacing w:after="120"/>
        <w:rPr>
          <w:sz w:val="16"/>
          <w:szCs w:val="16"/>
        </w:rPr>
      </w:pPr>
      <w:hyperlink r:id="rId12" w:history="1">
        <w:r w:rsidR="002B3446">
          <w:rPr>
            <w:rStyle w:val="Hyperlink"/>
            <w:sz w:val="16"/>
            <w:szCs w:val="16"/>
          </w:rPr>
          <w:t>R1-2002961</w:t>
        </w:r>
      </w:hyperlink>
      <w:r w:rsidR="002B3446">
        <w:rPr>
          <w:sz w:val="16"/>
          <w:szCs w:val="16"/>
        </w:rPr>
        <w:t xml:space="preserve">, </w:t>
      </w:r>
      <w:r w:rsidR="002B3446">
        <w:rPr>
          <w:i/>
          <w:iCs/>
          <w:sz w:val="16"/>
          <w:szCs w:val="16"/>
        </w:rPr>
        <w:t>LS response on secondary DRX</w:t>
      </w:r>
      <w:r w:rsidR="002B3446">
        <w:rPr>
          <w:sz w:val="16"/>
          <w:szCs w:val="16"/>
        </w:rPr>
        <w:t>, LS out, To: RAN2, Cc: RAN4, RAN1#100bis-e</w:t>
      </w:r>
    </w:p>
    <w:p w14:paraId="75E27A6F" w14:textId="494DAE7E" w:rsidR="007C0D58" w:rsidRPr="007C0D58" w:rsidRDefault="007C0D58" w:rsidP="007C0D58">
      <w:pPr>
        <w:pStyle w:val="Doc-title"/>
        <w:widowControl w:val="0"/>
        <w:numPr>
          <w:ilvl w:val="0"/>
          <w:numId w:val="41"/>
        </w:numPr>
        <w:spacing w:after="120"/>
        <w:rPr>
          <w:sz w:val="16"/>
          <w:szCs w:val="16"/>
        </w:rPr>
      </w:pPr>
      <w:hyperlink r:id="rId13" w:history="1">
        <w:r>
          <w:rPr>
            <w:rStyle w:val="Hyperlink"/>
            <w:sz w:val="16"/>
            <w:szCs w:val="16"/>
          </w:rPr>
          <w:t>R2-2006331</w:t>
        </w:r>
      </w:hyperlink>
      <w:r>
        <w:rPr>
          <w:sz w:val="16"/>
          <w:szCs w:val="16"/>
        </w:rPr>
        <w:t xml:space="preserve">, </w:t>
      </w:r>
      <w:r w:rsidRPr="007C0D58">
        <w:rPr>
          <w:i/>
          <w:iCs/>
          <w:sz w:val="16"/>
          <w:szCs w:val="16"/>
        </w:rPr>
        <w:t>Email report [AT110e][037][TEI16] Secondary DRX</w:t>
      </w:r>
      <w:r>
        <w:rPr>
          <w:sz w:val="16"/>
          <w:szCs w:val="16"/>
        </w:rPr>
        <w:t xml:space="preserve">, </w:t>
      </w:r>
      <w:r w:rsidR="00EC63B6">
        <w:rPr>
          <w:sz w:val="16"/>
          <w:szCs w:val="16"/>
        </w:rPr>
        <w:t xml:space="preserve">Ericsson, </w:t>
      </w:r>
      <w:r>
        <w:rPr>
          <w:sz w:val="16"/>
          <w:szCs w:val="16"/>
        </w:rPr>
        <w:t>RAN2#110-e</w:t>
      </w:r>
    </w:p>
    <w:p w14:paraId="0455A8FE" w14:textId="77777777" w:rsidR="000E1D3A" w:rsidRDefault="008175EC" w:rsidP="000E1D3A">
      <w:pPr>
        <w:pStyle w:val="Doc-title"/>
        <w:widowControl w:val="0"/>
        <w:numPr>
          <w:ilvl w:val="0"/>
          <w:numId w:val="41"/>
        </w:numPr>
        <w:spacing w:after="120"/>
        <w:rPr>
          <w:sz w:val="16"/>
          <w:szCs w:val="16"/>
        </w:rPr>
      </w:pPr>
      <w:hyperlink r:id="rId14" w:history="1">
        <w:r w:rsidR="002B3446">
          <w:rPr>
            <w:rStyle w:val="Hyperlink"/>
            <w:sz w:val="16"/>
            <w:szCs w:val="16"/>
          </w:rPr>
          <w:t>R4-2005296</w:t>
        </w:r>
      </w:hyperlink>
      <w:r w:rsidR="002B3446">
        <w:rPr>
          <w:sz w:val="16"/>
          <w:szCs w:val="16"/>
        </w:rPr>
        <w:t xml:space="preserve">, </w:t>
      </w:r>
      <w:r w:rsidR="002B3446">
        <w:rPr>
          <w:i/>
          <w:iCs/>
          <w:sz w:val="16"/>
          <w:szCs w:val="16"/>
        </w:rPr>
        <w:t>LS on secondary DRX group for FR1+FR2 CA</w:t>
      </w:r>
      <w:r w:rsidR="002B3446">
        <w:rPr>
          <w:sz w:val="16"/>
          <w:szCs w:val="16"/>
        </w:rPr>
        <w:t>, LS out, To: RAN2, RAN4, RAN4#94bis-e</w:t>
      </w:r>
    </w:p>
    <w:p w14:paraId="6153D782" w14:textId="7FAFE200" w:rsidR="000E1D3A" w:rsidRDefault="008175EC" w:rsidP="000E1D3A">
      <w:pPr>
        <w:pStyle w:val="Doc-title"/>
        <w:widowControl w:val="0"/>
        <w:numPr>
          <w:ilvl w:val="0"/>
          <w:numId w:val="41"/>
        </w:numPr>
        <w:spacing w:after="120"/>
        <w:rPr>
          <w:sz w:val="16"/>
          <w:szCs w:val="16"/>
        </w:rPr>
      </w:pPr>
      <w:hyperlink r:id="rId15" w:history="1">
        <w:r w:rsidR="004F4192">
          <w:rPr>
            <w:rStyle w:val="Hyperlink"/>
            <w:sz w:val="16"/>
            <w:szCs w:val="16"/>
          </w:rPr>
          <w:t>R2-2004857</w:t>
        </w:r>
      </w:hyperlink>
      <w:r w:rsidR="00722234" w:rsidRPr="000E1D3A">
        <w:rPr>
          <w:sz w:val="16"/>
          <w:szCs w:val="16"/>
        </w:rPr>
        <w:t xml:space="preserve">, </w:t>
      </w:r>
      <w:r w:rsidR="00722234" w:rsidRPr="000E1D3A">
        <w:rPr>
          <w:i/>
          <w:iCs/>
          <w:sz w:val="16"/>
          <w:szCs w:val="16"/>
        </w:rPr>
        <w:t>Introduction of secondary DRX group</w:t>
      </w:r>
      <w:r w:rsidR="00722234" w:rsidRPr="000E1D3A">
        <w:rPr>
          <w:sz w:val="16"/>
          <w:szCs w:val="16"/>
        </w:rPr>
        <w:t>, Ericsson, CR 38.306, REL-16</w:t>
      </w:r>
    </w:p>
    <w:p w14:paraId="63FA06D2" w14:textId="64EC34DA" w:rsidR="000E1D3A" w:rsidRDefault="008175EC" w:rsidP="000E1D3A">
      <w:pPr>
        <w:pStyle w:val="Doc-title"/>
        <w:widowControl w:val="0"/>
        <w:numPr>
          <w:ilvl w:val="0"/>
          <w:numId w:val="41"/>
        </w:numPr>
        <w:spacing w:after="120"/>
        <w:rPr>
          <w:sz w:val="16"/>
          <w:szCs w:val="16"/>
        </w:rPr>
      </w:pPr>
      <w:hyperlink r:id="rId16" w:history="1">
        <w:r w:rsidR="004F4192">
          <w:rPr>
            <w:rStyle w:val="Hyperlink"/>
            <w:sz w:val="16"/>
            <w:szCs w:val="16"/>
          </w:rPr>
          <w:t>R2-2006332</w:t>
        </w:r>
      </w:hyperlink>
      <w:r w:rsidR="00722234" w:rsidRPr="000E1D3A">
        <w:rPr>
          <w:sz w:val="16"/>
          <w:szCs w:val="16"/>
        </w:rPr>
        <w:t xml:space="preserve">, </w:t>
      </w:r>
      <w:r w:rsidR="001F4091" w:rsidRPr="000E1D3A">
        <w:rPr>
          <w:i/>
          <w:iCs/>
          <w:sz w:val="16"/>
          <w:szCs w:val="16"/>
        </w:rPr>
        <w:t>Introduction of secondary DRX group</w:t>
      </w:r>
      <w:r w:rsidR="001F4091" w:rsidRPr="000E1D3A">
        <w:rPr>
          <w:sz w:val="16"/>
          <w:szCs w:val="16"/>
        </w:rPr>
        <w:t>, Ericsson, CR 38.321, REL-16</w:t>
      </w:r>
    </w:p>
    <w:p w14:paraId="3FEAB1D5" w14:textId="2222C9D8" w:rsidR="001F4091" w:rsidRPr="000E1D3A" w:rsidRDefault="008175EC" w:rsidP="000E1D3A">
      <w:pPr>
        <w:pStyle w:val="Doc-title"/>
        <w:widowControl w:val="0"/>
        <w:numPr>
          <w:ilvl w:val="0"/>
          <w:numId w:val="41"/>
        </w:numPr>
        <w:spacing w:after="120"/>
        <w:rPr>
          <w:sz w:val="16"/>
          <w:szCs w:val="16"/>
        </w:rPr>
      </w:pPr>
      <w:hyperlink r:id="rId17" w:history="1">
        <w:r w:rsidR="004F4192">
          <w:rPr>
            <w:rStyle w:val="Hyperlink"/>
            <w:sz w:val="16"/>
            <w:szCs w:val="16"/>
          </w:rPr>
          <w:t>R2-2006333</w:t>
        </w:r>
      </w:hyperlink>
      <w:r w:rsidR="00722234" w:rsidRPr="000E1D3A">
        <w:rPr>
          <w:sz w:val="16"/>
          <w:szCs w:val="16"/>
        </w:rPr>
        <w:t xml:space="preserve">, </w:t>
      </w:r>
      <w:r w:rsidR="001F4091" w:rsidRPr="000E1D3A">
        <w:rPr>
          <w:i/>
          <w:iCs/>
          <w:sz w:val="16"/>
          <w:szCs w:val="16"/>
        </w:rPr>
        <w:t>Introduction of secondary DRX group</w:t>
      </w:r>
      <w:r w:rsidR="001F4091" w:rsidRPr="000E1D3A">
        <w:rPr>
          <w:sz w:val="16"/>
          <w:szCs w:val="16"/>
        </w:rPr>
        <w:t>, Ericsson, CR 38.331, REL-16</w:t>
      </w:r>
    </w:p>
    <w:sectPr w:rsidR="001F4091" w:rsidRPr="000E1D3A"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A52B4"/>
    <w:multiLevelType w:val="multilevel"/>
    <w:tmpl w:val="639A52B4"/>
    <w:lvl w:ilvl="0">
      <w:start w:val="1"/>
      <w:numFmt w:val="decimal"/>
      <w:lvlText w:val="[%1]"/>
      <w:lvlJc w:val="left"/>
      <w:pPr>
        <w:tabs>
          <w:tab w:val="left" w:pos="360"/>
        </w:tabs>
        <w:ind w:left="357" w:hanging="357"/>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7"/>
  </w:num>
  <w:num w:numId="4">
    <w:abstractNumId w:val="11"/>
  </w:num>
  <w:num w:numId="5">
    <w:abstractNumId w:val="35"/>
  </w:num>
  <w:num w:numId="6">
    <w:abstractNumId w:val="21"/>
  </w:num>
  <w:num w:numId="7">
    <w:abstractNumId w:val="32"/>
  </w:num>
  <w:num w:numId="8">
    <w:abstractNumId w:val="37"/>
  </w:num>
  <w:num w:numId="9">
    <w:abstractNumId w:val="13"/>
  </w:num>
  <w:num w:numId="10">
    <w:abstractNumId w:val="20"/>
  </w:num>
  <w:num w:numId="11">
    <w:abstractNumId w:val="16"/>
  </w:num>
  <w:num w:numId="12">
    <w:abstractNumId w:val="41"/>
  </w:num>
  <w:num w:numId="13">
    <w:abstractNumId w:val="14"/>
  </w:num>
  <w:num w:numId="14">
    <w:abstractNumId w:val="22"/>
  </w:num>
  <w:num w:numId="15">
    <w:abstractNumId w:val="3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3"/>
  </w:num>
  <w:num w:numId="41">
    <w:abstractNumId w:val="39"/>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481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0B7"/>
    <w:rsid w:val="0000455C"/>
    <w:rsid w:val="000059B7"/>
    <w:rsid w:val="00006CE2"/>
    <w:rsid w:val="00011902"/>
    <w:rsid w:val="00012285"/>
    <w:rsid w:val="00013C93"/>
    <w:rsid w:val="00020287"/>
    <w:rsid w:val="00020FFE"/>
    <w:rsid w:val="0002181B"/>
    <w:rsid w:val="00026191"/>
    <w:rsid w:val="00027BEA"/>
    <w:rsid w:val="00032140"/>
    <w:rsid w:val="000343D3"/>
    <w:rsid w:val="000362CF"/>
    <w:rsid w:val="000413DB"/>
    <w:rsid w:val="0004162A"/>
    <w:rsid w:val="000464BA"/>
    <w:rsid w:val="0004760F"/>
    <w:rsid w:val="00054991"/>
    <w:rsid w:val="000559F7"/>
    <w:rsid w:val="0005707A"/>
    <w:rsid w:val="00061674"/>
    <w:rsid w:val="00063945"/>
    <w:rsid w:val="00064C83"/>
    <w:rsid w:val="00066C9E"/>
    <w:rsid w:val="000677EA"/>
    <w:rsid w:val="00070C3F"/>
    <w:rsid w:val="0007655C"/>
    <w:rsid w:val="00076996"/>
    <w:rsid w:val="00080B58"/>
    <w:rsid w:val="00080D29"/>
    <w:rsid w:val="00081027"/>
    <w:rsid w:val="0008686B"/>
    <w:rsid w:val="000870B0"/>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7B80"/>
    <w:rsid w:val="000E1D3A"/>
    <w:rsid w:val="000E2DC8"/>
    <w:rsid w:val="000E47A9"/>
    <w:rsid w:val="000E6807"/>
    <w:rsid w:val="000F2D1B"/>
    <w:rsid w:val="00104ACF"/>
    <w:rsid w:val="00104B6A"/>
    <w:rsid w:val="00104C28"/>
    <w:rsid w:val="001065E3"/>
    <w:rsid w:val="001069AD"/>
    <w:rsid w:val="00106C7C"/>
    <w:rsid w:val="001119D7"/>
    <w:rsid w:val="00111AA3"/>
    <w:rsid w:val="00111E19"/>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EAD"/>
    <w:rsid w:val="00164767"/>
    <w:rsid w:val="001648FB"/>
    <w:rsid w:val="001659F2"/>
    <w:rsid w:val="00172C20"/>
    <w:rsid w:val="001774EA"/>
    <w:rsid w:val="0018431E"/>
    <w:rsid w:val="001845B1"/>
    <w:rsid w:val="00187AAE"/>
    <w:rsid w:val="00191C5C"/>
    <w:rsid w:val="001924EE"/>
    <w:rsid w:val="00192610"/>
    <w:rsid w:val="00193885"/>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4091"/>
    <w:rsid w:val="001F5CA1"/>
    <w:rsid w:val="002013B3"/>
    <w:rsid w:val="00202417"/>
    <w:rsid w:val="002114D0"/>
    <w:rsid w:val="00211629"/>
    <w:rsid w:val="00212767"/>
    <w:rsid w:val="002129BC"/>
    <w:rsid w:val="00215AB2"/>
    <w:rsid w:val="00217ECC"/>
    <w:rsid w:val="00225E2B"/>
    <w:rsid w:val="00226C55"/>
    <w:rsid w:val="0022703B"/>
    <w:rsid w:val="002336B9"/>
    <w:rsid w:val="0023429F"/>
    <w:rsid w:val="00234781"/>
    <w:rsid w:val="00236881"/>
    <w:rsid w:val="00237DA0"/>
    <w:rsid w:val="00241371"/>
    <w:rsid w:val="00241971"/>
    <w:rsid w:val="00244267"/>
    <w:rsid w:val="002500A8"/>
    <w:rsid w:val="00250587"/>
    <w:rsid w:val="00260EC7"/>
    <w:rsid w:val="00261F7C"/>
    <w:rsid w:val="00270A95"/>
    <w:rsid w:val="002733D0"/>
    <w:rsid w:val="00273C32"/>
    <w:rsid w:val="00274E81"/>
    <w:rsid w:val="00281BCA"/>
    <w:rsid w:val="00283532"/>
    <w:rsid w:val="00283E2E"/>
    <w:rsid w:val="00285CF1"/>
    <w:rsid w:val="00286831"/>
    <w:rsid w:val="0028711E"/>
    <w:rsid w:val="00290477"/>
    <w:rsid w:val="00292070"/>
    <w:rsid w:val="002950E1"/>
    <w:rsid w:val="00295270"/>
    <w:rsid w:val="00297106"/>
    <w:rsid w:val="002971AA"/>
    <w:rsid w:val="002A16F8"/>
    <w:rsid w:val="002A2E7B"/>
    <w:rsid w:val="002A70F0"/>
    <w:rsid w:val="002B1EE7"/>
    <w:rsid w:val="002B3446"/>
    <w:rsid w:val="002C1EF6"/>
    <w:rsid w:val="002C4082"/>
    <w:rsid w:val="002C6AEE"/>
    <w:rsid w:val="002E0414"/>
    <w:rsid w:val="002E083F"/>
    <w:rsid w:val="002E1A79"/>
    <w:rsid w:val="002E4760"/>
    <w:rsid w:val="002E6CD5"/>
    <w:rsid w:val="002F0172"/>
    <w:rsid w:val="002F3825"/>
    <w:rsid w:val="002F4578"/>
    <w:rsid w:val="002F703D"/>
    <w:rsid w:val="00300CB6"/>
    <w:rsid w:val="00300F6B"/>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16D3"/>
    <w:rsid w:val="00393247"/>
    <w:rsid w:val="003947E0"/>
    <w:rsid w:val="003948EA"/>
    <w:rsid w:val="00395015"/>
    <w:rsid w:val="003A5C51"/>
    <w:rsid w:val="003A6163"/>
    <w:rsid w:val="003B5CD6"/>
    <w:rsid w:val="003C1556"/>
    <w:rsid w:val="003C1C5D"/>
    <w:rsid w:val="003C50C2"/>
    <w:rsid w:val="003D09AA"/>
    <w:rsid w:val="003D1674"/>
    <w:rsid w:val="003D49F3"/>
    <w:rsid w:val="003D7733"/>
    <w:rsid w:val="003E7AF9"/>
    <w:rsid w:val="003F1487"/>
    <w:rsid w:val="003F1522"/>
    <w:rsid w:val="003F191A"/>
    <w:rsid w:val="003F2284"/>
    <w:rsid w:val="003F30D6"/>
    <w:rsid w:val="003F697E"/>
    <w:rsid w:val="003F7F9E"/>
    <w:rsid w:val="00401136"/>
    <w:rsid w:val="00403769"/>
    <w:rsid w:val="0040386D"/>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2597"/>
    <w:rsid w:val="00482878"/>
    <w:rsid w:val="0048287D"/>
    <w:rsid w:val="0048475F"/>
    <w:rsid w:val="00491971"/>
    <w:rsid w:val="004976F2"/>
    <w:rsid w:val="004A5FD9"/>
    <w:rsid w:val="004A7071"/>
    <w:rsid w:val="004B0216"/>
    <w:rsid w:val="004B10DE"/>
    <w:rsid w:val="004B17E2"/>
    <w:rsid w:val="004B4D17"/>
    <w:rsid w:val="004B59F9"/>
    <w:rsid w:val="004B6AA1"/>
    <w:rsid w:val="004C38C3"/>
    <w:rsid w:val="004C563D"/>
    <w:rsid w:val="004C7383"/>
    <w:rsid w:val="004C74AF"/>
    <w:rsid w:val="004D10CC"/>
    <w:rsid w:val="004D1CEB"/>
    <w:rsid w:val="004E002D"/>
    <w:rsid w:val="004E135B"/>
    <w:rsid w:val="004E26A8"/>
    <w:rsid w:val="004E2910"/>
    <w:rsid w:val="004E4674"/>
    <w:rsid w:val="004E548A"/>
    <w:rsid w:val="004F4192"/>
    <w:rsid w:val="004F4854"/>
    <w:rsid w:val="004F6067"/>
    <w:rsid w:val="004F62E1"/>
    <w:rsid w:val="004F6B52"/>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1C7"/>
    <w:rsid w:val="005B4B64"/>
    <w:rsid w:val="005B7E9E"/>
    <w:rsid w:val="005C16E7"/>
    <w:rsid w:val="005C4644"/>
    <w:rsid w:val="005C65A3"/>
    <w:rsid w:val="005D0FCE"/>
    <w:rsid w:val="005D1894"/>
    <w:rsid w:val="005D2FD4"/>
    <w:rsid w:val="005D4EEC"/>
    <w:rsid w:val="005D69F8"/>
    <w:rsid w:val="005D6EA6"/>
    <w:rsid w:val="005E0137"/>
    <w:rsid w:val="005E02ED"/>
    <w:rsid w:val="005E42AD"/>
    <w:rsid w:val="005E5482"/>
    <w:rsid w:val="005E6CA0"/>
    <w:rsid w:val="005E6F22"/>
    <w:rsid w:val="005F2971"/>
    <w:rsid w:val="005F7274"/>
    <w:rsid w:val="005F7968"/>
    <w:rsid w:val="00602B94"/>
    <w:rsid w:val="00602F9F"/>
    <w:rsid w:val="00603CCA"/>
    <w:rsid w:val="00607EC7"/>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563A"/>
    <w:rsid w:val="006A3181"/>
    <w:rsid w:val="006A39AE"/>
    <w:rsid w:val="006A6639"/>
    <w:rsid w:val="006B5B69"/>
    <w:rsid w:val="006B5BD4"/>
    <w:rsid w:val="006B6B15"/>
    <w:rsid w:val="006C20C4"/>
    <w:rsid w:val="006C5C94"/>
    <w:rsid w:val="006C7C34"/>
    <w:rsid w:val="006D151A"/>
    <w:rsid w:val="006D1813"/>
    <w:rsid w:val="006D5962"/>
    <w:rsid w:val="006E27D1"/>
    <w:rsid w:val="006E50DC"/>
    <w:rsid w:val="006E5B76"/>
    <w:rsid w:val="006E7D43"/>
    <w:rsid w:val="006F30A0"/>
    <w:rsid w:val="0070422F"/>
    <w:rsid w:val="00704408"/>
    <w:rsid w:val="007045A8"/>
    <w:rsid w:val="00712CDD"/>
    <w:rsid w:val="00712DC4"/>
    <w:rsid w:val="0071555E"/>
    <w:rsid w:val="00717D75"/>
    <w:rsid w:val="007215C8"/>
    <w:rsid w:val="00722234"/>
    <w:rsid w:val="00725A44"/>
    <w:rsid w:val="007269ED"/>
    <w:rsid w:val="00730790"/>
    <w:rsid w:val="0073304A"/>
    <w:rsid w:val="00733FF8"/>
    <w:rsid w:val="00734D32"/>
    <w:rsid w:val="00740114"/>
    <w:rsid w:val="007408D3"/>
    <w:rsid w:val="00745917"/>
    <w:rsid w:val="00750D3B"/>
    <w:rsid w:val="00755199"/>
    <w:rsid w:val="00763BA8"/>
    <w:rsid w:val="00764CCE"/>
    <w:rsid w:val="00767213"/>
    <w:rsid w:val="0077286C"/>
    <w:rsid w:val="00773DC4"/>
    <w:rsid w:val="00776F25"/>
    <w:rsid w:val="00782D8E"/>
    <w:rsid w:val="007837C7"/>
    <w:rsid w:val="00787E14"/>
    <w:rsid w:val="00797CEE"/>
    <w:rsid w:val="007A2ABB"/>
    <w:rsid w:val="007A2DAA"/>
    <w:rsid w:val="007A7AB2"/>
    <w:rsid w:val="007B149C"/>
    <w:rsid w:val="007B23E4"/>
    <w:rsid w:val="007C0B18"/>
    <w:rsid w:val="007C0D5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5EC"/>
    <w:rsid w:val="00817FB2"/>
    <w:rsid w:val="00825DCB"/>
    <w:rsid w:val="00830043"/>
    <w:rsid w:val="008348C0"/>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C6177"/>
    <w:rsid w:val="008D29D3"/>
    <w:rsid w:val="008D511C"/>
    <w:rsid w:val="008E0B00"/>
    <w:rsid w:val="008E1744"/>
    <w:rsid w:val="008E251D"/>
    <w:rsid w:val="008E676C"/>
    <w:rsid w:val="008E78DC"/>
    <w:rsid w:val="008F7D64"/>
    <w:rsid w:val="0090043B"/>
    <w:rsid w:val="00910638"/>
    <w:rsid w:val="00913C74"/>
    <w:rsid w:val="00914326"/>
    <w:rsid w:val="009170CF"/>
    <w:rsid w:val="009172BC"/>
    <w:rsid w:val="00920727"/>
    <w:rsid w:val="009216EB"/>
    <w:rsid w:val="00926CC2"/>
    <w:rsid w:val="009300B3"/>
    <w:rsid w:val="009300C8"/>
    <w:rsid w:val="0093141D"/>
    <w:rsid w:val="00931710"/>
    <w:rsid w:val="0093360C"/>
    <w:rsid w:val="009350CE"/>
    <w:rsid w:val="00943939"/>
    <w:rsid w:val="00945767"/>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3FC2"/>
    <w:rsid w:val="00985517"/>
    <w:rsid w:val="00985612"/>
    <w:rsid w:val="009938ED"/>
    <w:rsid w:val="00996097"/>
    <w:rsid w:val="009A0FD5"/>
    <w:rsid w:val="009A1476"/>
    <w:rsid w:val="009B7330"/>
    <w:rsid w:val="009C0ACC"/>
    <w:rsid w:val="009C2AB3"/>
    <w:rsid w:val="009C38E7"/>
    <w:rsid w:val="009C6E39"/>
    <w:rsid w:val="009D11CF"/>
    <w:rsid w:val="009D19F6"/>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F2E"/>
    <w:rsid w:val="00A7695D"/>
    <w:rsid w:val="00A769F6"/>
    <w:rsid w:val="00A82DE7"/>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1EE5"/>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A7573"/>
    <w:rsid w:val="00BB2636"/>
    <w:rsid w:val="00BB39E9"/>
    <w:rsid w:val="00BB6A16"/>
    <w:rsid w:val="00BC02B0"/>
    <w:rsid w:val="00BC740F"/>
    <w:rsid w:val="00BD0CC3"/>
    <w:rsid w:val="00BD12AC"/>
    <w:rsid w:val="00BD34F9"/>
    <w:rsid w:val="00BD57B1"/>
    <w:rsid w:val="00BD64D2"/>
    <w:rsid w:val="00BE4B38"/>
    <w:rsid w:val="00BE4D1B"/>
    <w:rsid w:val="00BF69E7"/>
    <w:rsid w:val="00BF7D26"/>
    <w:rsid w:val="00C01CBF"/>
    <w:rsid w:val="00C02D53"/>
    <w:rsid w:val="00C04BF5"/>
    <w:rsid w:val="00C04DC6"/>
    <w:rsid w:val="00C05B3D"/>
    <w:rsid w:val="00C11F6F"/>
    <w:rsid w:val="00C126DD"/>
    <w:rsid w:val="00C145B6"/>
    <w:rsid w:val="00C15FA1"/>
    <w:rsid w:val="00C20CA4"/>
    <w:rsid w:val="00C26256"/>
    <w:rsid w:val="00C35252"/>
    <w:rsid w:val="00C36420"/>
    <w:rsid w:val="00C36C06"/>
    <w:rsid w:val="00C41466"/>
    <w:rsid w:val="00C437F8"/>
    <w:rsid w:val="00C4384B"/>
    <w:rsid w:val="00C45330"/>
    <w:rsid w:val="00C479AB"/>
    <w:rsid w:val="00C51B6E"/>
    <w:rsid w:val="00C533D1"/>
    <w:rsid w:val="00C54FB4"/>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B5DEA"/>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834"/>
    <w:rsid w:val="00D22BA9"/>
    <w:rsid w:val="00D23618"/>
    <w:rsid w:val="00D250A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0286"/>
    <w:rsid w:val="00D81F6F"/>
    <w:rsid w:val="00D82E74"/>
    <w:rsid w:val="00D87F0D"/>
    <w:rsid w:val="00D92185"/>
    <w:rsid w:val="00D936ED"/>
    <w:rsid w:val="00D95D58"/>
    <w:rsid w:val="00D97D81"/>
    <w:rsid w:val="00DA42FF"/>
    <w:rsid w:val="00DA474B"/>
    <w:rsid w:val="00DB4026"/>
    <w:rsid w:val="00DB4F7D"/>
    <w:rsid w:val="00DB5BC6"/>
    <w:rsid w:val="00DB66D3"/>
    <w:rsid w:val="00DC1553"/>
    <w:rsid w:val="00DD43B0"/>
    <w:rsid w:val="00DD5520"/>
    <w:rsid w:val="00DD7378"/>
    <w:rsid w:val="00DE025A"/>
    <w:rsid w:val="00DE27BC"/>
    <w:rsid w:val="00DE5650"/>
    <w:rsid w:val="00DE6127"/>
    <w:rsid w:val="00DF0630"/>
    <w:rsid w:val="00DF2ACA"/>
    <w:rsid w:val="00E005F2"/>
    <w:rsid w:val="00E0108F"/>
    <w:rsid w:val="00E043CB"/>
    <w:rsid w:val="00E045D3"/>
    <w:rsid w:val="00E1349E"/>
    <w:rsid w:val="00E1451D"/>
    <w:rsid w:val="00E16784"/>
    <w:rsid w:val="00E17292"/>
    <w:rsid w:val="00E20796"/>
    <w:rsid w:val="00E21216"/>
    <w:rsid w:val="00E2135F"/>
    <w:rsid w:val="00E2271F"/>
    <w:rsid w:val="00E2438D"/>
    <w:rsid w:val="00E24A3F"/>
    <w:rsid w:val="00E331C0"/>
    <w:rsid w:val="00E34134"/>
    <w:rsid w:val="00E34263"/>
    <w:rsid w:val="00E35947"/>
    <w:rsid w:val="00E363A7"/>
    <w:rsid w:val="00E36CB2"/>
    <w:rsid w:val="00E40F04"/>
    <w:rsid w:val="00E4114E"/>
    <w:rsid w:val="00E4685A"/>
    <w:rsid w:val="00E46AF8"/>
    <w:rsid w:val="00E47D4D"/>
    <w:rsid w:val="00E558C9"/>
    <w:rsid w:val="00E62C44"/>
    <w:rsid w:val="00E63B32"/>
    <w:rsid w:val="00E64E02"/>
    <w:rsid w:val="00E6616F"/>
    <w:rsid w:val="00E735C3"/>
    <w:rsid w:val="00E7445E"/>
    <w:rsid w:val="00E76059"/>
    <w:rsid w:val="00E852A2"/>
    <w:rsid w:val="00E87830"/>
    <w:rsid w:val="00E90E4D"/>
    <w:rsid w:val="00E92C32"/>
    <w:rsid w:val="00E95697"/>
    <w:rsid w:val="00E95D22"/>
    <w:rsid w:val="00EA2B3C"/>
    <w:rsid w:val="00EB0DA4"/>
    <w:rsid w:val="00EB3575"/>
    <w:rsid w:val="00EB4152"/>
    <w:rsid w:val="00EB63D8"/>
    <w:rsid w:val="00EB6504"/>
    <w:rsid w:val="00EB78EC"/>
    <w:rsid w:val="00EC2535"/>
    <w:rsid w:val="00EC4601"/>
    <w:rsid w:val="00EC5518"/>
    <w:rsid w:val="00EC63B6"/>
    <w:rsid w:val="00EC76DA"/>
    <w:rsid w:val="00ED06F5"/>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162C9"/>
    <w:rsid w:val="00F17A1B"/>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77FE"/>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
    <w:link w:val="ListParagraph"/>
    <w:uiPriority w:val="34"/>
    <w:qFormat/>
    <w:locked/>
    <w:rsid w:val="0093360C"/>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11182980">
      <w:bodyDiv w:val="1"/>
      <w:marLeft w:val="0"/>
      <w:marRight w:val="0"/>
      <w:marTop w:val="0"/>
      <w:marBottom w:val="0"/>
      <w:divBdr>
        <w:top w:val="none" w:sz="0" w:space="0" w:color="auto"/>
        <w:left w:val="none" w:sz="0" w:space="0" w:color="auto"/>
        <w:bottom w:val="none" w:sz="0" w:space="0" w:color="auto"/>
        <w:right w:val="none" w:sz="0" w:space="0" w:color="auto"/>
      </w:divBdr>
      <w:divsChild>
        <w:div w:id="1452212569">
          <w:marLeft w:val="0"/>
          <w:marRight w:val="0"/>
          <w:marTop w:val="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531545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0-e/inbox/R2-2006331.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00b_e/Docs/r1-2002961.zip" TargetMode="External"/><Relationship Id="rId17" Type="http://schemas.openxmlformats.org/officeDocument/2006/relationships/hyperlink" Target="https://www.3gpp.org/ftp/tsg_ran/WG2_RL2//TSGR2_110-e/Docs/R2-2006333.zip" TargetMode="External"/><Relationship Id="rId2" Type="http://schemas.openxmlformats.org/officeDocument/2006/relationships/customXml" Target="../customXml/item2.xml"/><Relationship Id="rId16" Type="http://schemas.openxmlformats.org/officeDocument/2006/relationships/hyperlink" Target="https://www.3gpp.org/ftp/tsg_ran/WG2_RL2//TSGR2_110-e/Docs/R2-200633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9_e/Docs/R2-2000009.zip" TargetMode="External"/><Relationship Id="rId5" Type="http://schemas.openxmlformats.org/officeDocument/2006/relationships/styles" Target="styles.xml"/><Relationship Id="rId15" Type="http://schemas.openxmlformats.org/officeDocument/2006/relationships/hyperlink" Target="https://www.3gpp.org/ftp/tsg_ran/WG2_RL2//TSGR2_110-e/Docs/R2-2004857.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4_eBis/Inbox/R4-20052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5AB8CB-832F-4FF2-B6CC-242E41F99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FA0992-E9B9-4972-B8F6-CD936838142D}">
  <ds:schemaRefs>
    <ds:schemaRef ds:uri="http://schemas.microsoft.com/sharepoint/v3/contenttype/forms"/>
  </ds:schemaRefs>
</ds:datastoreItem>
</file>

<file path=customXml/itemProps3.xml><?xml version="1.0" encoding="utf-8"?>
<ds:datastoreItem xmlns:ds="http://schemas.openxmlformats.org/officeDocument/2006/customXml" ds:itemID="{D37163AC-7C25-4897-A1B2-F9A6E5824F43}">
  <ds:schemaRef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6f846979-0e6f-42ff-8b87-e1893efeda9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cp:revision>
  <cp:lastPrinted>2009-10-21T14:47:00Z</cp:lastPrinted>
  <dcterms:created xsi:type="dcterms:W3CDTF">2020-06-22T15:35:00Z</dcterms:created>
  <dcterms:modified xsi:type="dcterms:W3CDTF">2020-06-22T15:40:00Z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